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90AB4" w14:textId="77777777" w:rsidR="003A3830" w:rsidRDefault="00343D4B" w:rsidP="003A3830">
      <w:pPr>
        <w:spacing w:before="100" w:beforeAutospacing="1" w:after="100" w:afterAutospacing="1" w:line="240" w:lineRule="auto"/>
        <w:contextualSpacing/>
        <w:jc w:val="center"/>
        <w:rPr>
          <w:rFonts w:ascii="Times New Roman" w:hAnsi="Times New Roman" w:cs="Times New Roman"/>
          <w:b/>
          <w:bCs/>
          <w:color w:val="EE0000"/>
          <w:sz w:val="28"/>
          <w:szCs w:val="28"/>
        </w:rPr>
      </w:pPr>
      <w:r w:rsidRPr="003A3830">
        <w:rPr>
          <w:rFonts w:ascii="Times New Roman" w:hAnsi="Times New Roman" w:cs="Times New Roman"/>
          <w:b/>
          <w:bCs/>
          <w:color w:val="EE0000"/>
          <w:sz w:val="28"/>
          <w:szCs w:val="28"/>
        </w:rPr>
        <w:t>Đẩy mạnh nâng cao hiệu quả nguồn vốn</w:t>
      </w:r>
    </w:p>
    <w:p w14:paraId="493FC421" w14:textId="7AAE9A11" w:rsidR="00343D4B" w:rsidRDefault="00343D4B" w:rsidP="003A3830">
      <w:pPr>
        <w:spacing w:before="100" w:beforeAutospacing="1" w:after="100" w:afterAutospacing="1" w:line="240" w:lineRule="auto"/>
        <w:contextualSpacing/>
        <w:jc w:val="center"/>
        <w:rPr>
          <w:rFonts w:ascii="Times New Roman" w:hAnsi="Times New Roman" w:cs="Times New Roman"/>
          <w:b/>
          <w:bCs/>
          <w:color w:val="EE0000"/>
          <w:sz w:val="28"/>
          <w:szCs w:val="28"/>
        </w:rPr>
      </w:pPr>
      <w:r w:rsidRPr="003A3830">
        <w:rPr>
          <w:rFonts w:ascii="Times New Roman" w:hAnsi="Times New Roman" w:cs="Times New Roman"/>
          <w:b/>
          <w:bCs/>
          <w:color w:val="EE0000"/>
          <w:sz w:val="28"/>
          <w:szCs w:val="28"/>
        </w:rPr>
        <w:t xml:space="preserve"> tín dụng chính sách </w:t>
      </w:r>
      <w:r w:rsidR="003A3830" w:rsidRPr="003A3830">
        <w:rPr>
          <w:rFonts w:ascii="Times New Roman" w:hAnsi="Times New Roman" w:cs="Times New Roman"/>
          <w:b/>
          <w:bCs/>
          <w:color w:val="EE0000"/>
          <w:sz w:val="28"/>
          <w:szCs w:val="28"/>
        </w:rPr>
        <w:t>xã hội</w:t>
      </w:r>
      <w:r w:rsidR="003A3830">
        <w:rPr>
          <w:rFonts w:ascii="Times New Roman" w:hAnsi="Times New Roman" w:cs="Times New Roman"/>
          <w:b/>
          <w:bCs/>
          <w:color w:val="EE0000"/>
          <w:sz w:val="28"/>
          <w:szCs w:val="28"/>
        </w:rPr>
        <w:t xml:space="preserve"> </w:t>
      </w:r>
      <w:r w:rsidRPr="003A3830">
        <w:rPr>
          <w:rFonts w:ascii="Times New Roman" w:hAnsi="Times New Roman" w:cs="Times New Roman"/>
          <w:b/>
          <w:bCs/>
          <w:color w:val="EE0000"/>
          <w:sz w:val="28"/>
          <w:szCs w:val="28"/>
        </w:rPr>
        <w:t>trên địa bàn xã Thiện Hưng</w:t>
      </w:r>
    </w:p>
    <w:p w14:paraId="48FEFA23" w14:textId="77777777" w:rsidR="003A3830" w:rsidRPr="003A3830" w:rsidRDefault="003A3830" w:rsidP="003A3830">
      <w:pPr>
        <w:spacing w:before="100" w:beforeAutospacing="1" w:after="100" w:afterAutospacing="1" w:line="240" w:lineRule="auto"/>
        <w:contextualSpacing/>
        <w:jc w:val="center"/>
        <w:rPr>
          <w:rFonts w:ascii="Times New Roman" w:hAnsi="Times New Roman" w:cs="Times New Roman"/>
          <w:b/>
          <w:bCs/>
          <w:color w:val="EE0000"/>
          <w:sz w:val="18"/>
          <w:szCs w:val="18"/>
        </w:rPr>
      </w:pPr>
    </w:p>
    <w:p w14:paraId="78C3D752" w14:textId="0C2859D5" w:rsidR="008C77DD" w:rsidRPr="003A3830" w:rsidRDefault="00343D4B" w:rsidP="003A3830">
      <w:pPr>
        <w:spacing w:before="100" w:beforeAutospacing="1" w:after="100" w:afterAutospacing="1" w:line="240" w:lineRule="auto"/>
        <w:ind w:firstLine="720"/>
        <w:contextualSpacing/>
        <w:jc w:val="both"/>
        <w:rPr>
          <w:rFonts w:ascii="Times New Roman" w:hAnsi="Times New Roman" w:cs="Times New Roman"/>
          <w:color w:val="70AD47" w:themeColor="accent6"/>
          <w:sz w:val="26"/>
          <w:szCs w:val="26"/>
        </w:rPr>
      </w:pPr>
      <w:r w:rsidRPr="003A3830">
        <w:rPr>
          <w:rFonts w:ascii="Times New Roman" w:hAnsi="Times New Roman" w:cs="Times New Roman"/>
          <w:color w:val="70AD47" w:themeColor="accent6"/>
          <w:sz w:val="26"/>
          <w:szCs w:val="26"/>
        </w:rPr>
        <w:t>Nhằm nâng cao chất lượng hoạt động tín dụng chính sách, thời gian qua Phòng Giao dịch NHCSXH Bù Đốp đã phối hợp chặt chẽ với UBND xã Thiện Hưng, các tổ chức chính trị - xã hội nhận ủy thác và Ban quản lý các Tổ Tiết kiệm và Vay vốn triển khai đồng bộ nhiều giải pháp nhằm đưa nguồn vốn ưu đãi của Nhà nước đến đúng đối tượng thụ hưởng, góp phần thực hiện hiệu quả công tác giảm nghèo, tạo việc làm và phát triển kinh tế - xã hội trên địa bàn.</w:t>
      </w:r>
    </w:p>
    <w:p w14:paraId="7F959430" w14:textId="030AE95E" w:rsidR="008C77DD" w:rsidRPr="003A3830" w:rsidRDefault="00343D4B" w:rsidP="003A3830">
      <w:pPr>
        <w:spacing w:before="100" w:beforeAutospacing="1" w:after="100" w:afterAutospacing="1" w:line="240" w:lineRule="auto"/>
        <w:ind w:firstLine="720"/>
        <w:contextualSpacing/>
        <w:jc w:val="both"/>
        <w:rPr>
          <w:rFonts w:ascii="Times New Roman" w:hAnsi="Times New Roman" w:cs="Times New Roman"/>
          <w:color w:val="70AD47" w:themeColor="accent6"/>
          <w:sz w:val="26"/>
          <w:szCs w:val="26"/>
          <w:lang w:val="vi-VN"/>
        </w:rPr>
      </w:pPr>
      <w:r w:rsidRPr="003A3830">
        <w:rPr>
          <w:rFonts w:ascii="Times New Roman" w:hAnsi="Times New Roman" w:cs="Times New Roman"/>
          <w:color w:val="70AD47" w:themeColor="accent6"/>
          <w:sz w:val="26"/>
          <w:szCs w:val="26"/>
        </w:rPr>
        <w:t xml:space="preserve">Thông qua các Tổ Tiết kiệm và Vay vốn, các tổ chức chính trị - xã hội nhận ủy thác đã tích cực tuyên truyền các chương trình tín dụng chính sách, hướng dẫn người dân tiếp cận nguồn vốn thuận lợi, đồng thời vận động hộ vay sử dụng vốn đúng mục đích, thực hành tiết kiệm, chấp hành nghiêm việc trả nợ gốc, lãi đúng thời hạn. Công tác kiểm tra, giám sát sau giải ngân cũng được tăng cường, góp phần nâng cao chất lượng tín dụng, hạn chế nợ quá hạn và phát huy hiệu quả nguồn vốn </w:t>
      </w:r>
      <w:r w:rsidR="008C77DD" w:rsidRPr="003A3830">
        <w:rPr>
          <w:rFonts w:ascii="Times New Roman" w:hAnsi="Times New Roman" w:cs="Times New Roman"/>
          <w:color w:val="70AD47" w:themeColor="accent6"/>
          <w:sz w:val="26"/>
          <w:szCs w:val="26"/>
        </w:rPr>
        <w:t>vay</w:t>
      </w:r>
      <w:r w:rsidR="008C77DD" w:rsidRPr="003A3830">
        <w:rPr>
          <w:rFonts w:ascii="Times New Roman" w:hAnsi="Times New Roman" w:cs="Times New Roman"/>
          <w:color w:val="70AD47" w:themeColor="accent6"/>
          <w:sz w:val="26"/>
          <w:szCs w:val="26"/>
          <w:lang w:val="vi-VN"/>
        </w:rPr>
        <w:t>.</w:t>
      </w:r>
    </w:p>
    <w:p w14:paraId="5458B2EF" w14:textId="22212C6F" w:rsidR="008C77DD" w:rsidRPr="003A3830" w:rsidRDefault="00343D4B" w:rsidP="003A3830">
      <w:pPr>
        <w:spacing w:before="100" w:beforeAutospacing="1" w:after="100" w:afterAutospacing="1" w:line="240" w:lineRule="auto"/>
        <w:ind w:firstLine="720"/>
        <w:contextualSpacing/>
        <w:jc w:val="both"/>
        <w:rPr>
          <w:rFonts w:ascii="Times New Roman" w:hAnsi="Times New Roman" w:cs="Times New Roman"/>
          <w:color w:val="70AD47" w:themeColor="accent6"/>
          <w:sz w:val="26"/>
          <w:szCs w:val="26"/>
          <w:lang w:val="vi-VN"/>
        </w:rPr>
      </w:pPr>
      <w:r w:rsidRPr="003A3830">
        <w:rPr>
          <w:rFonts w:ascii="Times New Roman" w:hAnsi="Times New Roman" w:cs="Times New Roman"/>
          <w:color w:val="70AD47" w:themeColor="accent6"/>
          <w:sz w:val="26"/>
          <w:szCs w:val="26"/>
          <w:lang w:val="vi-VN"/>
        </w:rPr>
        <w:t>Định kỳ hằng tháng, Phòng Giao dịch NHCSXH Bù Đốp phối hợp với chính quyền địa phương tổ chức giao ban với các tổ chức nhận ủy thác</w:t>
      </w:r>
      <w:r w:rsidR="008C77DD" w:rsidRPr="003A3830">
        <w:rPr>
          <w:rFonts w:ascii="Times New Roman" w:hAnsi="Times New Roman" w:cs="Times New Roman"/>
          <w:color w:val="70AD47" w:themeColor="accent6"/>
          <w:sz w:val="26"/>
          <w:szCs w:val="26"/>
          <w:lang w:val="vi-VN"/>
        </w:rPr>
        <w:t xml:space="preserve"> và Ban quản ký Tổ Tiết kiệm và Vay vốn</w:t>
      </w:r>
      <w:r w:rsidRPr="003A3830">
        <w:rPr>
          <w:rFonts w:ascii="Times New Roman" w:hAnsi="Times New Roman" w:cs="Times New Roman"/>
          <w:color w:val="70AD47" w:themeColor="accent6"/>
          <w:sz w:val="26"/>
          <w:szCs w:val="26"/>
          <w:lang w:val="vi-VN"/>
        </w:rPr>
        <w:t xml:space="preserve"> nhằm đánh giá kết quả hoạt động, kịp thời tháo gỡ những khó khăn, vướng mắc phát sinh trong quá trình quản lý nguồn vốn. Qua đó, nâng cao trách nhiệm của Ban quản lý Tổ Tiết kiệm và Vay vốn, phát huy vai trò của các hội, đoàn thể trong công tác bình xét, quản lý và giám sát vốn vay.</w:t>
      </w:r>
    </w:p>
    <w:p w14:paraId="161D5D8B" w14:textId="77777777" w:rsidR="00343D4B" w:rsidRPr="003A3830" w:rsidRDefault="00343D4B" w:rsidP="003A3830">
      <w:pPr>
        <w:spacing w:before="100" w:beforeAutospacing="1" w:after="100" w:afterAutospacing="1" w:line="240" w:lineRule="auto"/>
        <w:contextualSpacing/>
        <w:jc w:val="center"/>
        <w:rPr>
          <w:rFonts w:ascii="Times New Roman" w:hAnsi="Times New Roman" w:cs="Times New Roman"/>
          <w:sz w:val="26"/>
          <w:szCs w:val="26"/>
        </w:rPr>
      </w:pPr>
      <w:r w:rsidRPr="003A3830">
        <w:rPr>
          <w:rFonts w:ascii="Times New Roman" w:hAnsi="Times New Roman" w:cs="Times New Roman"/>
          <w:sz w:val="26"/>
          <w:szCs w:val="26"/>
        </w:rPr>
        <w:drawing>
          <wp:inline distT="0" distB="0" distL="0" distR="0" wp14:anchorId="6137AE90" wp14:editId="2276124D">
            <wp:extent cx="5784850" cy="3127972"/>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t="29466"/>
                    <a:stretch/>
                  </pic:blipFill>
                  <pic:spPr bwMode="auto">
                    <a:xfrm>
                      <a:off x="0" y="0"/>
                      <a:ext cx="5831859" cy="3153391"/>
                    </a:xfrm>
                    <a:prstGeom prst="rect">
                      <a:avLst/>
                    </a:prstGeom>
                    <a:ln>
                      <a:noFill/>
                    </a:ln>
                    <a:extLst>
                      <a:ext uri="{53640926-AAD7-44D8-BBD7-CCE9431645EC}">
                        <a14:shadowObscured xmlns:a14="http://schemas.microsoft.com/office/drawing/2010/main"/>
                      </a:ext>
                    </a:extLst>
                  </pic:spPr>
                </pic:pic>
              </a:graphicData>
            </a:graphic>
          </wp:inline>
        </w:drawing>
      </w:r>
    </w:p>
    <w:p w14:paraId="10BBF7C8" w14:textId="57AB6018" w:rsidR="00343D4B" w:rsidRPr="003A3830" w:rsidRDefault="00343D4B" w:rsidP="003A3830">
      <w:pPr>
        <w:spacing w:before="100" w:beforeAutospacing="1" w:after="100" w:afterAutospacing="1" w:line="240" w:lineRule="auto"/>
        <w:contextualSpacing/>
        <w:jc w:val="center"/>
        <w:rPr>
          <w:rFonts w:ascii="Times New Roman" w:hAnsi="Times New Roman" w:cs="Times New Roman"/>
          <w:sz w:val="26"/>
          <w:szCs w:val="26"/>
        </w:rPr>
      </w:pPr>
      <w:r w:rsidRPr="003A3830">
        <w:rPr>
          <w:rFonts w:ascii="Times New Roman" w:eastAsia="Times New Roman" w:hAnsi="Times New Roman" w:cs="Times New Roman"/>
          <w:i/>
          <w:iCs/>
          <w:noProof w:val="0"/>
          <w:color w:val="4F81BD"/>
          <w:sz w:val="26"/>
          <w:szCs w:val="26"/>
        </w:rPr>
        <w:t>Ông</w:t>
      </w:r>
      <w:r w:rsidRPr="003A3830">
        <w:rPr>
          <w:rFonts w:ascii="Times New Roman" w:eastAsia="Times New Roman" w:hAnsi="Times New Roman" w:cs="Times New Roman"/>
          <w:i/>
          <w:iCs/>
          <w:noProof w:val="0"/>
          <w:color w:val="4F81BD"/>
          <w:sz w:val="26"/>
          <w:szCs w:val="26"/>
          <w:lang w:val="vi-VN"/>
        </w:rPr>
        <w:t xml:space="preserve"> Nguyễn Ngọc Điệp – Giám đốc Phòng giao dịch NHCSXH Bù Đốp phát biểu chỉ đạo tại cuộc họp giao ban tháng tại điểm Giao dịch Thanh Hòa – xã Thiện Hưng</w:t>
      </w:r>
      <w:r w:rsidRPr="003A3830">
        <w:rPr>
          <w:rFonts w:ascii="Times New Roman" w:eastAsia="Times New Roman" w:hAnsi="Times New Roman" w:cs="Times New Roman"/>
          <w:i/>
          <w:iCs/>
          <w:noProof w:val="0"/>
          <w:color w:val="4F81BD"/>
          <w:sz w:val="26"/>
          <w:szCs w:val="26"/>
        </w:rPr>
        <w:t>.</w:t>
      </w:r>
    </w:p>
    <w:p w14:paraId="0F66C5A3" w14:textId="62EC04C1" w:rsidR="001C1E05" w:rsidRPr="003A3830" w:rsidRDefault="001C1E05" w:rsidP="003A3830">
      <w:pPr>
        <w:spacing w:before="100" w:beforeAutospacing="1" w:after="100" w:afterAutospacing="1" w:line="240" w:lineRule="auto"/>
        <w:ind w:firstLine="720"/>
        <w:contextualSpacing/>
        <w:jc w:val="both"/>
        <w:rPr>
          <w:rFonts w:ascii="Times New Roman" w:hAnsi="Times New Roman" w:cs="Times New Roman"/>
          <w:color w:val="70AD47" w:themeColor="accent6"/>
          <w:sz w:val="26"/>
          <w:szCs w:val="26"/>
        </w:rPr>
      </w:pPr>
      <w:r w:rsidRPr="003A3830">
        <w:rPr>
          <w:rFonts w:ascii="Times New Roman" w:hAnsi="Times New Roman" w:cs="Times New Roman"/>
          <w:color w:val="70AD47" w:themeColor="accent6"/>
          <w:sz w:val="26"/>
          <w:szCs w:val="26"/>
          <w:shd w:val="clear" w:color="auto" w:fill="FFFFFF"/>
        </w:rPr>
        <w:t>Tổng dư nợ xã Thiện Hưng đạt hơn 228 tỷ đồng,</w:t>
      </w:r>
      <w:r w:rsidR="00BF1FF8" w:rsidRPr="003A3830">
        <w:rPr>
          <w:rFonts w:ascii="Times New Roman" w:hAnsi="Times New Roman" w:cs="Times New Roman"/>
          <w:color w:val="70AD47" w:themeColor="accent6"/>
          <w:sz w:val="26"/>
          <w:szCs w:val="26"/>
          <w:shd w:val="clear" w:color="auto" w:fill="FFFFFF"/>
        </w:rPr>
        <w:t xml:space="preserve"> tăng hơn 13 tỷ đồng so với đầu năm,</w:t>
      </w:r>
      <w:r w:rsidRPr="003A3830">
        <w:rPr>
          <w:rFonts w:ascii="Times New Roman" w:hAnsi="Times New Roman" w:cs="Times New Roman"/>
          <w:color w:val="70AD47" w:themeColor="accent6"/>
          <w:sz w:val="26"/>
          <w:szCs w:val="26"/>
          <w:shd w:val="clear" w:color="auto" w:fill="FFFFFF"/>
        </w:rPr>
        <w:t xml:space="preserve"> tỷ lệ thu nợ – thu lãi đạt trên 98%, hoạt động huy động tiền gửi tổ viên tổ TK&amp;VV tiếp tục được duy trì tốt. Đặc biệt, một số mô hình vay vốn phát triển kinh tế hộ gia đình đã cho hiệu quả rõ rệt, như: chăn nuôi </w:t>
      </w:r>
      <w:r w:rsidR="00BF1FF8" w:rsidRPr="003A3830">
        <w:rPr>
          <w:rFonts w:ascii="Times New Roman" w:hAnsi="Times New Roman" w:cs="Times New Roman"/>
          <w:color w:val="70AD47" w:themeColor="accent6"/>
          <w:sz w:val="26"/>
          <w:szCs w:val="26"/>
          <w:shd w:val="clear" w:color="auto" w:fill="FFFFFF"/>
        </w:rPr>
        <w:t>đại gia súc</w:t>
      </w:r>
      <w:r w:rsidRPr="003A3830">
        <w:rPr>
          <w:rFonts w:ascii="Times New Roman" w:hAnsi="Times New Roman" w:cs="Times New Roman"/>
          <w:color w:val="70AD47" w:themeColor="accent6"/>
          <w:sz w:val="26"/>
          <w:szCs w:val="26"/>
          <w:shd w:val="clear" w:color="auto" w:fill="FFFFFF"/>
        </w:rPr>
        <w:t>, tiểu thủ công nghiệp</w:t>
      </w:r>
      <w:r w:rsidR="00E16AF1" w:rsidRPr="003A3830">
        <w:rPr>
          <w:rFonts w:ascii="Times New Roman" w:hAnsi="Times New Roman" w:cs="Times New Roman"/>
          <w:color w:val="70AD47" w:themeColor="accent6"/>
          <w:sz w:val="26"/>
          <w:szCs w:val="26"/>
          <w:shd w:val="clear" w:color="auto" w:fill="FFFFFF"/>
        </w:rPr>
        <w:t>…</w:t>
      </w:r>
    </w:p>
    <w:p w14:paraId="3C318675" w14:textId="3B350039" w:rsidR="00AE2F6B" w:rsidRPr="003A3830" w:rsidRDefault="00343D4B" w:rsidP="003A3830">
      <w:pPr>
        <w:spacing w:before="100" w:beforeAutospacing="1" w:after="100" w:afterAutospacing="1" w:line="240" w:lineRule="auto"/>
        <w:ind w:firstLine="720"/>
        <w:contextualSpacing/>
        <w:jc w:val="both"/>
        <w:rPr>
          <w:rFonts w:ascii="Times New Roman" w:hAnsi="Times New Roman" w:cs="Times New Roman"/>
          <w:color w:val="70AD47" w:themeColor="accent6"/>
          <w:sz w:val="26"/>
          <w:szCs w:val="26"/>
        </w:rPr>
      </w:pPr>
      <w:r w:rsidRPr="003A3830">
        <w:rPr>
          <w:rFonts w:ascii="Times New Roman" w:hAnsi="Times New Roman" w:cs="Times New Roman"/>
          <w:color w:val="70AD47" w:themeColor="accent6"/>
          <w:sz w:val="26"/>
          <w:szCs w:val="26"/>
        </w:rPr>
        <w:t>Phát biểu tại cuộc</w:t>
      </w:r>
      <w:r w:rsidRPr="003A3830">
        <w:rPr>
          <w:rFonts w:ascii="Times New Roman" w:hAnsi="Times New Roman" w:cs="Times New Roman"/>
          <w:color w:val="70AD47" w:themeColor="accent6"/>
          <w:sz w:val="26"/>
          <w:szCs w:val="26"/>
          <w:lang w:val="vi-VN"/>
        </w:rPr>
        <w:t xml:space="preserve"> họp </w:t>
      </w:r>
      <w:r w:rsidRPr="003A3830">
        <w:rPr>
          <w:rFonts w:ascii="Times New Roman" w:hAnsi="Times New Roman" w:cs="Times New Roman"/>
          <w:color w:val="70AD47" w:themeColor="accent6"/>
          <w:sz w:val="26"/>
          <w:szCs w:val="26"/>
        </w:rPr>
        <w:t>giao ban tại</w:t>
      </w:r>
      <w:r w:rsidRPr="003A3830">
        <w:rPr>
          <w:rFonts w:ascii="Times New Roman" w:hAnsi="Times New Roman" w:cs="Times New Roman"/>
          <w:color w:val="70AD47" w:themeColor="accent6"/>
          <w:sz w:val="26"/>
          <w:szCs w:val="26"/>
          <w:lang w:val="vi-VN"/>
        </w:rPr>
        <w:t xml:space="preserve"> điểm giao dịch Thanh Hòa- </w:t>
      </w:r>
      <w:r w:rsidRPr="003A3830">
        <w:rPr>
          <w:rFonts w:ascii="Times New Roman" w:hAnsi="Times New Roman" w:cs="Times New Roman"/>
          <w:color w:val="70AD47" w:themeColor="accent6"/>
          <w:sz w:val="26"/>
          <w:szCs w:val="26"/>
        </w:rPr>
        <w:t xml:space="preserve">xã Thiện Hưng, ông Nguyễn Ngọc Điệp - Giám đốc Phòng Giao dịch NHCSXH Bù Đốp nhấn mạnh: “Các tổ </w:t>
      </w:r>
      <w:r w:rsidRPr="003A3830">
        <w:rPr>
          <w:rFonts w:ascii="Times New Roman" w:hAnsi="Times New Roman" w:cs="Times New Roman"/>
          <w:color w:val="70AD47" w:themeColor="accent6"/>
          <w:sz w:val="26"/>
          <w:szCs w:val="26"/>
        </w:rPr>
        <w:lastRenderedPageBreak/>
        <w:t>chức chính trị - xã hội nhận ủy thác cần tiếp tục phát huy vai trò là cầu nối giữa Ngân hàng Chính sách xã hội với người dân; tăng cường công tác tuyên truyền, kiểm tra, giám sát việc sử dụng vốn vay, bảo đảm nguồn vốn tín dụng chính sách được sử dụng đúng mục đích, đúng đối tượng và phát huy hiệu quả, góp phần thực hiện tốt các chương trình an sinh xã hội trên địa bàn”</w:t>
      </w:r>
      <w:r w:rsidR="003A3830" w:rsidRPr="003A3830">
        <w:rPr>
          <w:rFonts w:ascii="Times New Roman" w:hAnsi="Times New Roman" w:cs="Times New Roman"/>
          <w:color w:val="70AD47" w:themeColor="accent6"/>
          <w:sz w:val="26"/>
          <w:szCs w:val="26"/>
        </w:rPr>
        <w:t>.</w:t>
      </w:r>
    </w:p>
    <w:p w14:paraId="240726E4" w14:textId="6DA5E7C7" w:rsidR="00AE2F6B" w:rsidRPr="003A3830" w:rsidRDefault="00AE2F6B" w:rsidP="003A3830">
      <w:pPr>
        <w:spacing w:before="100" w:beforeAutospacing="1" w:after="100" w:afterAutospacing="1" w:line="240" w:lineRule="auto"/>
        <w:ind w:firstLine="720"/>
        <w:contextualSpacing/>
        <w:jc w:val="both"/>
        <w:rPr>
          <w:rFonts w:ascii="Times New Roman" w:hAnsi="Times New Roman" w:cs="Times New Roman"/>
          <w:color w:val="70AD47" w:themeColor="accent6"/>
          <w:sz w:val="26"/>
          <w:szCs w:val="26"/>
        </w:rPr>
      </w:pPr>
      <w:r w:rsidRPr="003A3830">
        <w:rPr>
          <w:rFonts w:ascii="Times New Roman" w:hAnsi="Times New Roman" w:cs="Times New Roman"/>
          <w:color w:val="70AD47" w:themeColor="accent6"/>
          <w:sz w:val="26"/>
          <w:szCs w:val="26"/>
          <w:shd w:val="clear" w:color="auto" w:fill="FFFFFF"/>
        </w:rPr>
        <w:t>Sự chủ động, quyết liệt và linh hoạt của PGD NHCSXH Bù Đốp đã giúp hoạt động tín dụng chính sách không những không bị gián đoạn mà còn phát huy tốt hơn vai trò hỗ trợ người dân tiếp cận nguồn vốn ưu đãi. Với phương châm “gần dân, sát dân”, tín dụng chính sách đang tiếp tục khẳng định là một công cụ hiệu quả, góp phần giảm nghèo bền vững, phát triển kinh tế và bảo đảm an sinh xã hội trên địa bàn.</w:t>
      </w:r>
    </w:p>
    <w:p w14:paraId="4BDD1D82" w14:textId="3665D8D3" w:rsidR="00343D4B" w:rsidRDefault="00343D4B" w:rsidP="003A3830">
      <w:pPr>
        <w:spacing w:before="100" w:beforeAutospacing="1" w:after="100" w:afterAutospacing="1" w:line="240" w:lineRule="auto"/>
        <w:ind w:firstLine="720"/>
        <w:contextualSpacing/>
        <w:jc w:val="both"/>
        <w:rPr>
          <w:rFonts w:ascii="Times New Roman" w:hAnsi="Times New Roman" w:cs="Times New Roman"/>
          <w:color w:val="70AD47" w:themeColor="accent6"/>
          <w:sz w:val="26"/>
          <w:szCs w:val="26"/>
        </w:rPr>
      </w:pPr>
      <w:r w:rsidRPr="003A3830">
        <w:rPr>
          <w:rFonts w:ascii="Times New Roman" w:hAnsi="Times New Roman" w:cs="Times New Roman"/>
          <w:color w:val="70AD47" w:themeColor="accent6"/>
          <w:sz w:val="26"/>
          <w:szCs w:val="26"/>
        </w:rPr>
        <w:t>Trong thời gian tới, Phòng Giao dịch NHCSXH Bù Đốp sẽ tiếp tục phối hợp với cấp ủy, chính quyền địa phương và các tổ chức nhận ủy thác nâng cao chất lượng hoạt động của các Tổ Tiết kiệm và Vay vốn; đẩy mạnh công tác tuyên truyền chính sách tín dụng ưu đãi, tăng cường kiểm tra, giám sát việc sử dụng vốn vay, góp phần đưa nguồn vốn tín dụng chính sách đến đúng đối tượng, đáp ứng nhu cầu phát triển sản xuất, tạo sinh kế bền vững và nâng cao đời sống của người dân trên địa bàn xã Thiện Hưng.</w:t>
      </w:r>
    </w:p>
    <w:p w14:paraId="0FF9B292" w14:textId="77777777" w:rsidR="003A3830" w:rsidRDefault="003A3830" w:rsidP="003A3830">
      <w:pPr>
        <w:spacing w:before="100" w:beforeAutospacing="1" w:after="100" w:afterAutospacing="1" w:line="240" w:lineRule="auto"/>
        <w:ind w:firstLine="720"/>
        <w:contextualSpacing/>
        <w:jc w:val="both"/>
        <w:rPr>
          <w:rFonts w:ascii="Times New Roman" w:hAnsi="Times New Roman" w:cs="Times New Roman"/>
          <w:color w:val="70AD47" w:themeColor="accent6"/>
          <w:sz w:val="26"/>
          <w:szCs w:val="26"/>
        </w:rPr>
      </w:pPr>
      <w:r>
        <w:rPr>
          <w:rFonts w:ascii="Times New Roman" w:hAnsi="Times New Roman" w:cs="Times New Roman"/>
          <w:color w:val="70AD47" w:themeColor="accent6"/>
          <w:sz w:val="26"/>
          <w:szCs w:val="26"/>
        </w:rPr>
        <w:t xml:space="preserve">                                                      </w:t>
      </w:r>
    </w:p>
    <w:p w14:paraId="3559E88B" w14:textId="346CD78F" w:rsidR="003A3830" w:rsidRPr="003A3830" w:rsidRDefault="003A3830" w:rsidP="003A3830">
      <w:pPr>
        <w:spacing w:before="100" w:beforeAutospacing="1" w:after="100" w:afterAutospacing="1" w:line="240" w:lineRule="auto"/>
        <w:ind w:firstLine="720"/>
        <w:contextualSpacing/>
        <w:jc w:val="both"/>
        <w:rPr>
          <w:rFonts w:ascii="Times New Roman" w:hAnsi="Times New Roman" w:cs="Times New Roman"/>
          <w:i/>
          <w:iCs/>
          <w:color w:val="70AD47" w:themeColor="accent6"/>
          <w:sz w:val="26"/>
          <w:szCs w:val="26"/>
        </w:rPr>
      </w:pPr>
      <w:r>
        <w:rPr>
          <w:rFonts w:ascii="Times New Roman" w:hAnsi="Times New Roman" w:cs="Times New Roman"/>
          <w:color w:val="70AD47" w:themeColor="accent6"/>
          <w:sz w:val="26"/>
          <w:szCs w:val="26"/>
        </w:rPr>
        <w:t xml:space="preserve">                                                    </w:t>
      </w:r>
      <w:r w:rsidRPr="003A3830">
        <w:rPr>
          <w:rFonts w:ascii="Times New Roman" w:hAnsi="Times New Roman" w:cs="Times New Roman"/>
          <w:i/>
          <w:iCs/>
          <w:color w:val="70AD47" w:themeColor="accent6"/>
          <w:sz w:val="26"/>
          <w:szCs w:val="26"/>
        </w:rPr>
        <w:t>Nguồn tin: Ngân hàng Chính sách xã hội Bù Đốp.</w:t>
      </w:r>
    </w:p>
    <w:sectPr w:rsidR="003A3830" w:rsidRPr="003A3830" w:rsidSect="003A3830">
      <w:pgSz w:w="12240" w:h="15840" w:code="1"/>
      <w:pgMar w:top="992" w:right="1134" w:bottom="1276"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D4B"/>
    <w:rsid w:val="0004348D"/>
    <w:rsid w:val="0004460F"/>
    <w:rsid w:val="00065ECF"/>
    <w:rsid w:val="0008220C"/>
    <w:rsid w:val="00085510"/>
    <w:rsid w:val="00095DB1"/>
    <w:rsid w:val="00095E50"/>
    <w:rsid w:val="000B5A31"/>
    <w:rsid w:val="000C70D5"/>
    <w:rsid w:val="000D3B6E"/>
    <w:rsid w:val="000D4A14"/>
    <w:rsid w:val="000E42A9"/>
    <w:rsid w:val="000E5E47"/>
    <w:rsid w:val="00103DAC"/>
    <w:rsid w:val="00105274"/>
    <w:rsid w:val="00106589"/>
    <w:rsid w:val="00120A40"/>
    <w:rsid w:val="00163FE2"/>
    <w:rsid w:val="00172E7C"/>
    <w:rsid w:val="00190200"/>
    <w:rsid w:val="00190793"/>
    <w:rsid w:val="001C1E05"/>
    <w:rsid w:val="001D2264"/>
    <w:rsid w:val="001D3630"/>
    <w:rsid w:val="001D64F0"/>
    <w:rsid w:val="001F1432"/>
    <w:rsid w:val="001F229C"/>
    <w:rsid w:val="002336D2"/>
    <w:rsid w:val="00244349"/>
    <w:rsid w:val="00245C3A"/>
    <w:rsid w:val="00257A1A"/>
    <w:rsid w:val="00262557"/>
    <w:rsid w:val="00287055"/>
    <w:rsid w:val="00293FDC"/>
    <w:rsid w:val="002A268E"/>
    <w:rsid w:val="002A2B41"/>
    <w:rsid w:val="002B1510"/>
    <w:rsid w:val="00301702"/>
    <w:rsid w:val="0030263F"/>
    <w:rsid w:val="00310EED"/>
    <w:rsid w:val="0034178B"/>
    <w:rsid w:val="00343D4B"/>
    <w:rsid w:val="00346E8D"/>
    <w:rsid w:val="00352DBD"/>
    <w:rsid w:val="00353B82"/>
    <w:rsid w:val="003752D0"/>
    <w:rsid w:val="00391A09"/>
    <w:rsid w:val="003A2902"/>
    <w:rsid w:val="003A34A8"/>
    <w:rsid w:val="003A3830"/>
    <w:rsid w:val="003C280B"/>
    <w:rsid w:val="003C3563"/>
    <w:rsid w:val="003D5D4E"/>
    <w:rsid w:val="003D680E"/>
    <w:rsid w:val="003E028C"/>
    <w:rsid w:val="003E3436"/>
    <w:rsid w:val="003F45AB"/>
    <w:rsid w:val="00421907"/>
    <w:rsid w:val="00425651"/>
    <w:rsid w:val="00430465"/>
    <w:rsid w:val="004339D6"/>
    <w:rsid w:val="00435EAF"/>
    <w:rsid w:val="00437791"/>
    <w:rsid w:val="00437BF1"/>
    <w:rsid w:val="00442E04"/>
    <w:rsid w:val="00447892"/>
    <w:rsid w:val="00451AE7"/>
    <w:rsid w:val="0045534F"/>
    <w:rsid w:val="00465DB5"/>
    <w:rsid w:val="00497759"/>
    <w:rsid w:val="004A2621"/>
    <w:rsid w:val="004B3A8C"/>
    <w:rsid w:val="004B5A37"/>
    <w:rsid w:val="004B6203"/>
    <w:rsid w:val="004C031F"/>
    <w:rsid w:val="004E3B25"/>
    <w:rsid w:val="004F73C8"/>
    <w:rsid w:val="005100A5"/>
    <w:rsid w:val="005270B2"/>
    <w:rsid w:val="005528ED"/>
    <w:rsid w:val="005839D9"/>
    <w:rsid w:val="00596384"/>
    <w:rsid w:val="005B54F3"/>
    <w:rsid w:val="005B722A"/>
    <w:rsid w:val="00606F58"/>
    <w:rsid w:val="00607692"/>
    <w:rsid w:val="00611B15"/>
    <w:rsid w:val="00623B3C"/>
    <w:rsid w:val="006301D2"/>
    <w:rsid w:val="006312E1"/>
    <w:rsid w:val="006427BA"/>
    <w:rsid w:val="0066266E"/>
    <w:rsid w:val="00675FD8"/>
    <w:rsid w:val="00683E8B"/>
    <w:rsid w:val="00693B9E"/>
    <w:rsid w:val="00697AA8"/>
    <w:rsid w:val="006D3447"/>
    <w:rsid w:val="006D5D00"/>
    <w:rsid w:val="006E4C93"/>
    <w:rsid w:val="006F0F88"/>
    <w:rsid w:val="006F632A"/>
    <w:rsid w:val="00701ECC"/>
    <w:rsid w:val="0070407D"/>
    <w:rsid w:val="007071A9"/>
    <w:rsid w:val="007072B2"/>
    <w:rsid w:val="00716A9B"/>
    <w:rsid w:val="007318B1"/>
    <w:rsid w:val="00736DFE"/>
    <w:rsid w:val="0074333F"/>
    <w:rsid w:val="0076333F"/>
    <w:rsid w:val="0077676E"/>
    <w:rsid w:val="007A1053"/>
    <w:rsid w:val="007A58FD"/>
    <w:rsid w:val="007D12D2"/>
    <w:rsid w:val="007E24A9"/>
    <w:rsid w:val="007F64CF"/>
    <w:rsid w:val="007F6817"/>
    <w:rsid w:val="0081431D"/>
    <w:rsid w:val="0083792D"/>
    <w:rsid w:val="0084016E"/>
    <w:rsid w:val="00842538"/>
    <w:rsid w:val="008521DA"/>
    <w:rsid w:val="0085723E"/>
    <w:rsid w:val="00861272"/>
    <w:rsid w:val="00867883"/>
    <w:rsid w:val="00884C0E"/>
    <w:rsid w:val="008A2838"/>
    <w:rsid w:val="008B4FDC"/>
    <w:rsid w:val="008B7EC4"/>
    <w:rsid w:val="008C6DEF"/>
    <w:rsid w:val="008C77DD"/>
    <w:rsid w:val="008D10BE"/>
    <w:rsid w:val="008E066C"/>
    <w:rsid w:val="008F3678"/>
    <w:rsid w:val="008F6525"/>
    <w:rsid w:val="008F6859"/>
    <w:rsid w:val="009154AF"/>
    <w:rsid w:val="00917ED6"/>
    <w:rsid w:val="0093523C"/>
    <w:rsid w:val="00940124"/>
    <w:rsid w:val="00940B4E"/>
    <w:rsid w:val="009456C3"/>
    <w:rsid w:val="0097187A"/>
    <w:rsid w:val="0098032C"/>
    <w:rsid w:val="00986055"/>
    <w:rsid w:val="0098645C"/>
    <w:rsid w:val="009909DC"/>
    <w:rsid w:val="009A2D27"/>
    <w:rsid w:val="009A5C2A"/>
    <w:rsid w:val="009B426B"/>
    <w:rsid w:val="009E2EA1"/>
    <w:rsid w:val="009E5015"/>
    <w:rsid w:val="009F00DC"/>
    <w:rsid w:val="009F3C1A"/>
    <w:rsid w:val="00A240F1"/>
    <w:rsid w:val="00A26B7C"/>
    <w:rsid w:val="00A33C91"/>
    <w:rsid w:val="00A51EE1"/>
    <w:rsid w:val="00A71D96"/>
    <w:rsid w:val="00A73A67"/>
    <w:rsid w:val="00AB475A"/>
    <w:rsid w:val="00AD10AC"/>
    <w:rsid w:val="00AE29FF"/>
    <w:rsid w:val="00AE2F6B"/>
    <w:rsid w:val="00AF0C97"/>
    <w:rsid w:val="00AF3023"/>
    <w:rsid w:val="00B00D00"/>
    <w:rsid w:val="00B01668"/>
    <w:rsid w:val="00B034D4"/>
    <w:rsid w:val="00B20670"/>
    <w:rsid w:val="00B40666"/>
    <w:rsid w:val="00B52091"/>
    <w:rsid w:val="00BC1E5C"/>
    <w:rsid w:val="00BD3EFD"/>
    <w:rsid w:val="00BE19CC"/>
    <w:rsid w:val="00BF0D37"/>
    <w:rsid w:val="00BF1FF8"/>
    <w:rsid w:val="00BF6B28"/>
    <w:rsid w:val="00C13371"/>
    <w:rsid w:val="00C22604"/>
    <w:rsid w:val="00C275B7"/>
    <w:rsid w:val="00C35AEA"/>
    <w:rsid w:val="00C44B85"/>
    <w:rsid w:val="00C63D77"/>
    <w:rsid w:val="00C67924"/>
    <w:rsid w:val="00C7448C"/>
    <w:rsid w:val="00C807D8"/>
    <w:rsid w:val="00C851FB"/>
    <w:rsid w:val="00CA1D8B"/>
    <w:rsid w:val="00CA51C9"/>
    <w:rsid w:val="00CB033E"/>
    <w:rsid w:val="00CB409D"/>
    <w:rsid w:val="00CC1F7E"/>
    <w:rsid w:val="00CE51DB"/>
    <w:rsid w:val="00D15A13"/>
    <w:rsid w:val="00D2428A"/>
    <w:rsid w:val="00D251A6"/>
    <w:rsid w:val="00D43A47"/>
    <w:rsid w:val="00D60034"/>
    <w:rsid w:val="00D95573"/>
    <w:rsid w:val="00DA1EF8"/>
    <w:rsid w:val="00DA31AD"/>
    <w:rsid w:val="00DD50E8"/>
    <w:rsid w:val="00DE4CEC"/>
    <w:rsid w:val="00DF1D7A"/>
    <w:rsid w:val="00E16AF1"/>
    <w:rsid w:val="00E21CE1"/>
    <w:rsid w:val="00E22107"/>
    <w:rsid w:val="00E3682A"/>
    <w:rsid w:val="00E455F6"/>
    <w:rsid w:val="00E54996"/>
    <w:rsid w:val="00E81990"/>
    <w:rsid w:val="00E82829"/>
    <w:rsid w:val="00E92CD5"/>
    <w:rsid w:val="00E92DD6"/>
    <w:rsid w:val="00E9518A"/>
    <w:rsid w:val="00EC4F52"/>
    <w:rsid w:val="00EC6045"/>
    <w:rsid w:val="00EC6D45"/>
    <w:rsid w:val="00ED2FBC"/>
    <w:rsid w:val="00ED72EF"/>
    <w:rsid w:val="00EE0449"/>
    <w:rsid w:val="00EE07A0"/>
    <w:rsid w:val="00EE451F"/>
    <w:rsid w:val="00EF1B8C"/>
    <w:rsid w:val="00EF60A7"/>
    <w:rsid w:val="00F03E5C"/>
    <w:rsid w:val="00F16537"/>
    <w:rsid w:val="00F32466"/>
    <w:rsid w:val="00F35F0C"/>
    <w:rsid w:val="00F43AB4"/>
    <w:rsid w:val="00F53A65"/>
    <w:rsid w:val="00F57C9E"/>
    <w:rsid w:val="00F636BA"/>
    <w:rsid w:val="00F7028E"/>
    <w:rsid w:val="00F96B36"/>
    <w:rsid w:val="00FA38F0"/>
    <w:rsid w:val="00FC35BB"/>
    <w:rsid w:val="00FC5294"/>
    <w:rsid w:val="00FC7B84"/>
    <w:rsid w:val="00FD173A"/>
    <w:rsid w:val="00FE3EE4"/>
    <w:rsid w:val="00FE7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E203"/>
  <w15:chartTrackingRefBased/>
  <w15:docId w15:val="{625B9CA3-01E0-48FC-A341-43B703DFB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527</Words>
  <Characters>3008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dc:creator>
  <cp:keywords/>
  <dc:description/>
  <cp:lastModifiedBy>duong cao</cp:lastModifiedBy>
  <cp:revision>4</cp:revision>
  <dcterms:created xsi:type="dcterms:W3CDTF">2026-07-02T10:52:00Z</dcterms:created>
  <dcterms:modified xsi:type="dcterms:W3CDTF">2026-07-09T09:56:00Z</dcterms:modified>
</cp:coreProperties>
</file>